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D9" w:rsidRPr="003A7DD9" w:rsidRDefault="003A7DD9" w:rsidP="003A7DD9">
      <w:pPr>
        <w:shd w:val="clear" w:color="auto" w:fill="FFFFFF"/>
        <w:spacing w:before="60" w:after="0" w:line="336" w:lineRule="atLeast"/>
        <w:outlineLvl w:val="2"/>
        <w:rPr>
          <w:rFonts w:ascii="Arial" w:eastAsia="Times New Roman" w:hAnsi="Arial" w:cs="Arial"/>
          <w:color w:val="B47B10"/>
          <w:sz w:val="25"/>
          <w:szCs w:val="25"/>
          <w:lang w:eastAsia="pt-BR"/>
        </w:rPr>
      </w:pPr>
      <w:r w:rsidRPr="003A7DD9">
        <w:rPr>
          <w:rFonts w:ascii="Arial" w:eastAsia="Times New Roman" w:hAnsi="Arial" w:cs="Arial"/>
          <w:color w:val="B47B10"/>
          <w:sz w:val="25"/>
          <w:szCs w:val="25"/>
          <w:lang w:eastAsia="pt-BR"/>
        </w:rPr>
        <w:t>Exemplo de Projeto de Segurança Contra Incêndio e Pânico em Prédios Comerciais</w:t>
      </w:r>
    </w:p>
    <w:p w:rsidR="003A7DD9" w:rsidRPr="003A7DD9" w:rsidRDefault="003A7DD9" w:rsidP="003A7DD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Exemplo de um Projeto de Segurança Contra Incêndio e Pânico em conformidade com a Lei Federal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nº5.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194/66,</w:t>
      </w:r>
      <w:r w:rsidRPr="003A7DD9">
        <w:rPr>
          <w:rFonts w:ascii="Arial" w:eastAsia="Times New Roman" w:hAnsi="Arial" w:cs="Arial"/>
          <w:color w:val="000000"/>
          <w:sz w:val="18"/>
          <w:lang w:eastAsia="pt-BR"/>
        </w:rPr>
        <w:t> </w:t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COSCIP</w:t>
      </w:r>
      <w:r w:rsidRPr="003A7DD9">
        <w:rPr>
          <w:rFonts w:ascii="Arial" w:eastAsia="Times New Roman" w:hAnsi="Arial" w:cs="Arial"/>
          <w:color w:val="000000"/>
          <w:sz w:val="18"/>
          <w:lang w:eastAsia="pt-BR"/>
        </w:rPr>
        <w:t> 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</w:t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Código de Segurança contra Incêndio e Pânico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Dec. 897/76); Lei nº 6.514, de 22 de Dezembro de 1977; Decreto nº897 de 21 de setembro de 1976, decreto nº35671 de 9 de junho de 2004 e a resolução nº 279, de 11 de janeiro de 2005 para o prédio.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Em conformidade com a legislação vigente e minimizando a situação de risco eminente a referida edificação deve manter seu sistema preventivo conservado e operante, independente das adequações que esta sujeita, neste sentido face a atividade em desenvolvimento antecipamos parte das adequações conforme especificações que seguem: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1. </w:t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Especificações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Gerais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1.1 – ENQUADRAMENTO: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1.1.1 - ADEQUAÇÃO – Decreto </w:t>
      </w:r>
      <w:proofErr w:type="gramStart"/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nº35.</w:t>
      </w:r>
      <w:proofErr w:type="gramEnd"/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671/04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1.2 – PARÂMETROS DE CÁLCULO HIDRÁULICO: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1.2.1 HIDRANTES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1.2.1.1 – Mangueira 1 ½``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1.2.1.2 – Requinte 13 mm (fixo)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1.2.1.3 – Pressão mínima 350Kpa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1.2.1.4 – Vazão no hidrante 200L/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min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1.2.1.5 – Numero de Hidrantes 1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1.2.1.6 – Vazão no sistema 200L/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min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lastRenderedPageBreak/>
        <w:drawing>
          <wp:inline distT="0" distB="0" distL="0" distR="0">
            <wp:extent cx="3045460" cy="2401570"/>
            <wp:effectExtent l="19050" t="0" r="2540" b="0"/>
            <wp:docPr id="1" name="BLOGGER_PHOTO_ID_5399876288191037186" descr="http://4.bp.blogspot.com/_9WGM9jAF_X4/SvA239SufwI/AAAAAAAAABg/i1WlJdeMKyw/s320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99876288191037186" descr="http://4.bp.blogspot.com/_9WGM9jAF_X4/SvA239SufwI/AAAAAAAAABg/i1WlJdeMKyw/s320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1.3 –SISTEMA DE BOMBA: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1.3.1 – As bombas serão centrifugas e acionadas por motor elétrico devendo ser de acionamento automático, quando houver abertura do hidrante dispondo de uma passagem livre (by-pass) do fluxo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d`água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1.3.2 - O conjunto de composto de tanque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hidropneumático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manômetro,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pressostato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caixa piezométrica de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escorva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interligados a uma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eletrobomba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2,5 CV e reserva, que atenda a uma AMT= 16,99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mca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Q= 200L/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min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1.3.3 – O sistema disporá de ramal para teste de pressão e vazão do projeto, com diâmetro de ½`` , manômetro, caixa piezométrica de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escorva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chave liga desliga do tipo fluxo para acionamento automático;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drawing>
          <wp:inline distT="0" distB="0" distL="0" distR="0">
            <wp:extent cx="2377440" cy="3045460"/>
            <wp:effectExtent l="19050" t="0" r="3810" b="0"/>
            <wp:docPr id="2" name="BLOGGER_PHOTO_ID_5399876290981427586" descr="http://3.bp.blogspot.com/_9WGM9jAF_X4/SvA24HsAeYI/AAAAAAAAABo/vTZTteEGRw8/s320/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99876290981427586" descr="http://3.bp.blogspot.com/_9WGM9jAF_X4/SvA24HsAeYI/AAAAAAAAABo/vTZTteEGRw8/s320/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1.4 – COLAR HIDRAULICO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1.4.1 HIDRANTES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1.4.1.1 – Sucção 1 ½``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>1.4.1.2 – Recalque 1 ¼``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1.4.1.3 – Dreno ½``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1.4.1.4 – Alivio ½``(opcional)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drawing>
          <wp:inline distT="0" distB="0" distL="0" distR="0">
            <wp:extent cx="2632075" cy="3045460"/>
            <wp:effectExtent l="19050" t="0" r="0" b="0"/>
            <wp:docPr id="3" name="BLOGGER_PHOTO_ID_5399876296230099778" descr="http://4.bp.blogspot.com/_9WGM9jAF_X4/SvA24bPY20I/AAAAAAAAABw/5qu4D5S-06o/s320/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99876296230099778" descr="http://4.bp.blogspot.com/_9WGM9jAF_X4/SvA24bPY20I/AAAAAAAAABw/5qu4D5S-06o/s320/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1.5 – DISPOSITIVOS ELÉTRICOS: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1.5.1 – Disjuntor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tripolar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30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amperes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1.5.2 – Chave magnética de partida direta com botoeira;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1.5.3 – Chave de fluxo;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1.5.4 –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Pressostato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1.5.5 – Alarme 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1.5.6 – Este dispositivo bem como o recalque da cisterna devem receber alimentação independente da alimentação geral da edificação e protegida contra chamas.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1.6 – CANALIZAÇÃO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1.6.1 Tubulação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1.6.1.1 DIN 2240: Tubo de aço preto com costura para diâmetros superiores a 50mm;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1.6.1.2 DIN 2240: Tubo de aço galvanizado diâmetros de 25mm a 50mm.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1.6.2 Conexões: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1.6.2.1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Rosqueada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classe 10 (150 LBS) para diâmetros de 25mm a 50mm em ferro galvanizado, rosca BSP com comprimento da parte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roscavel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1”.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1.6.2.2 Solda para diâmetro acima de 50mm.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1.6.3 Fixação: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1.6.3.1 As tubulações em seu trajeto vertical e horizontal devem ser sustentadas por meio de suportes similares aos especificados no projeto e NBR 10897.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>1.6.4 Pintura com base e esmalte sintético na cor vermelha.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1.7 –HIDRANTE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1.7.1 – 02 (dois) hidrantes de passeio sendo um para o SPK e outro para o sistema de hidrantes, dispondo de registro tipo gaveta de 2 ½`` e orifício externo de junta “STORZ” com tampão, protegido por caixa metálica com tampa de 30cm (trinta centímetros) x 40cm (quarenta centímetros) e inscrição INCÊNDIO.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drawing>
          <wp:inline distT="0" distB="0" distL="0" distR="0">
            <wp:extent cx="3045460" cy="1900555"/>
            <wp:effectExtent l="19050" t="0" r="2540" b="0"/>
            <wp:docPr id="4" name="BLOGGER_PHOTO_ID_5399876295584455874" descr="http://1.bp.blogspot.com/_9WGM9jAF_X4/SvA24Y1dHMI/AAAAAAAAAB4/8nB2inxUkjk/s320/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99876295584455874" descr="http://1.bp.blogspot.com/_9WGM9jAF_X4/SvA24Y1dHMI/AAAAAAAAAB4/8nB2inxUkjk/s320/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1.8 – CAIXA DE INCÊNDIO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1.8.1 - Um total de 47(quarenta e sete) equipadas com 02 lances de mangueira do TIPO 1 (conforme NBR 11861198), com a respectiva MARCA DE CONFORMIDADE DA ABNT, com 15m de comprimento e 38mm de diâmetro, e esguicho com requinte de 13mm.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1.8.2 - Os abrigos de mangueira são em alvenaria com portas de madeira com 0,50 cm (cinqüenta centímetros) de largura e 0,40 cm (quarenta centímetros) de altura e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shaft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para canalização com parede em concreto com 0,15cm (quinze centímetros) de espessura.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drawing>
          <wp:inline distT="0" distB="0" distL="0" distR="0">
            <wp:extent cx="3045460" cy="2059305"/>
            <wp:effectExtent l="19050" t="0" r="2540" b="0"/>
            <wp:docPr id="5" name="BLOGGER_PHOTO_ID_5399876300468815794" descr="http://3.bp.blogspot.com/_9WGM9jAF_X4/SvA24rB-h7I/AAAAAAAAACA/PmKQvnoLyHg/s320/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99876300468815794" descr="http://3.bp.blogspot.com/_9WGM9jAF_X4/SvA24rB-h7I/AAAAAAAAACA/PmKQvnoLyHg/s320/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1.9 - CASA DE MAQUINA DE INCÊNDIO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1.9.1 – A casa de bomba do sistema está localizada na laje sobre a caixa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d´água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em abrigo com paredes de alvenaria de 15 cm de espessura, laje de teto e porta corta fogo.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>1.9.2 – A CMI dever dispor de ponto de luz e ponto de esgotamento de águas de teste e manutenção do sistema.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1.9.3 – A CMI deverá dispor de alerta sonoro instalado na portaria a fim de indicar o acionamento das bombas.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1.9.4 – A CMI deverá dispor de alimentação de energia elétrica independente da alimentação da edificação.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1.9.5 - Os oficiais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vistoriantes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deverão verificar a porta contêm as plaquetas fornecidas pela ABNT, fixadas a arrebite, na aresta correspondente a dobradiça, na qual conste gravada a sua categoria de resistência ao teste de fogo, ou seja, P-60.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drawing>
          <wp:inline distT="0" distB="0" distL="0" distR="0">
            <wp:extent cx="2783205" cy="3045460"/>
            <wp:effectExtent l="19050" t="0" r="0" b="0"/>
            <wp:docPr id="6" name="BLOGGER_PHOTO_ID_5399876994219052546" descr="http://2.bp.blogspot.com/_9WGM9jAF_X4/SvA3hDc7DgI/AAAAAAAAACY/VNhWWTIlCN8/s320/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99876994219052546" descr="http://2.bp.blogspot.com/_9WGM9jAF_X4/SvA3hDc7DgI/AAAAAAAAACY/VNhWWTIlCN8/s320/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1.10 – PORTA CORTA-FOGO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1.10.1 - De acordo com o croquis execução de10 (dez) PCF para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enclausuramento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simples de escada de escape de acordo com a lei nº374/63.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1.10.2 – As portas corta-fogo deverão conter plaquetas que ratifiquem fornecimento pela ABNT, fixadas a arrebite, na aresta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correspondente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 dobradiça, na qual conste gravada a sua categoria de resistência ao teste de fogo, ou seja, P-60.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1.10.3 – As portas corta-fogo possuir molas para serem mantidas fechadas.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lastRenderedPageBreak/>
        <w:drawing>
          <wp:inline distT="0" distB="0" distL="0" distR="0">
            <wp:extent cx="3045460" cy="2369185"/>
            <wp:effectExtent l="19050" t="0" r="2540" b="0"/>
            <wp:docPr id="7" name="BLOGGER_PHOTO_ID_5399876992635810354" descr="http://2.bp.blogspot.com/_9WGM9jAF_X4/SvA3g9jcsjI/AAAAAAAAACQ/SA715VkmeOk/s320/8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99876992635810354" descr="http://2.bp.blogspot.com/_9WGM9jAF_X4/SvA3g9jcsjI/AAAAAAAAACQ/SA715VkmeOk/s320/8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1.11 – EXTINTORES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1.11.1 De acordo com o projeto 25(vinte e cinco) sendo: sendo: Sub solo = 2 CO2-6; Térreo= 2 AP-10, 2 CO2-6; Mezanino. 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 xml:space="preserve">= 01 AP-10, 01 CO2-6; 2º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 xml:space="preserve">. = 01 AP-10, 01 CO2-6; 3º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 xml:space="preserve">. = 01 AP-10, 01 CO2-6; 4º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 xml:space="preserve">. = 01 AP-10, 01 CO2-6; 5º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 xml:space="preserve">. = 01 AP-10, 01 CO2-6; 6º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 xml:space="preserve">. = 01 AP-10, 01 CO2-6; 7º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 xml:space="preserve">. = 01 AP-10, 01 CO2-6; 8º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 xml:space="preserve">. = 01 AP-10, 01 CO2-6; CO2-6;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>terraço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 xml:space="preserve"> = 01 CO2-6; CMI 02 CO2-6 e CME 01 CO2-6.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1.11.2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-Os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extintores devem ser dispostos de acordo com o projeto em locais sinalizados por círculos vermelhos ou por setas largas vermelhas, com bordas amarelas. A área de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m2 (um metro quadrado) do piso, localizada abaixo do extintor será também pintada em vermelho e, em hipótese alguma, poderá ser ocupada.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1.11.3 - Os extintores portáteis deverão ser fixados de maneira que sua parte superior não fique acima de 1,60m (um metro e sessenta centímetros) e a inferior abaixo de 0,60 m (sessenta centímetros) do piso.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lastRenderedPageBreak/>
        <w:drawing>
          <wp:inline distT="0" distB="0" distL="0" distR="0">
            <wp:extent cx="3045460" cy="2719070"/>
            <wp:effectExtent l="19050" t="0" r="2540" b="0"/>
            <wp:docPr id="8" name="BLOGGER_PHOTO_ID_5399876988366262802" descr="http://1.bp.blogspot.com/_9WGM9jAF_X4/SvA3gtpgkhI/AAAAAAAAACI/JvoIVGNIRY8/s320/9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99876988366262802" descr="http://1.bp.blogspot.com/_9WGM9jAF_X4/SvA3gtpgkhI/AAAAAAAAACI/JvoIVGNIRY8/s320/9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1.11.4 –Somente serão aceitos os extintores que possuírem a identificação de conformidade de órgãos de certificação credenciados pelo Instituto Nacional de Metrologia, Normalização e Qualidade Industrial (INMETRO) fornecidos e ou de manutenção realizada por empresas credenciadas junto Corpo de Bombeiros do Estado do Rio de Janeiro.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1.12 – SISTEMA DE ILUMINAÇÃO DE EMERGÊNCIA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1.12.1 - Dotar a edificação de conjunto de bloco autônomo de acordo com o projeto 41(quarenta e um) sendo: sendo: Subsolo = 02 (duas); Térreo= 5 (cinco); Sobreloja= 04 (quatro); 2º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= 04 (quatro); 3º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= 04 (quatro); 4º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= 04 (quatro); 5º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= 04 (quatro); 6º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= 04 (quatro); 7º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= 04 (quatro); 8º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 = 04 (quatro); terraço = 02 (duas).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1.12.2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-Luminárias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fluorescente com 2 Lâmpadas fluorescentes 8W com fluxo luminoso de 80 lumens cada ( equivalente a uma incandescente de 30W).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1.12.3 -Acionamento automático no caso de interrupção de fornecimento de energia elétrica.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1.12.4 –O sistema não poderá ter uma autonomia menor que uma hora de funcionamento, com uma perda maior de 10% de sua luminosidade inicial.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1.12.5 – O equipamento deverá atender as especificações abaixo: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1.12.5.1 -Tensão de trabalho : 100~240Vac.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- 2 Lâmpada fluorescentes 8W com fluxo luminoso de 80 lumens cada ( equivalente a uma incandescente de 30W).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- Autonomia 3:00H com 2 lâmpadas.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- Chave seletora para 1 ou 2 lâmpadas (2Ts OFF 1Ts = 2 lâmpadas desligado 1 lâmpada ).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- LED que indica o recebimento de energia " CHARGE ".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- Indicador de nível de carga de bateria ( vermelho "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Battey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Low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" bateria em processo de carga ; Verde "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High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"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beteria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carregada).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>- Botão de teste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- Fusível interno de proteção de 2 A.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- Bateria selada 6V 4Ah.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- Circuito que conta o carregador da bateria, quando estiver carregada.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- Cabo normatizado pela ABNT.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- Resiste até 70° C de acordo com a exigência do corpo de bombeiros.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1.12.6 -Mensalmente deve ser verificada;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1.12.6.1 A passagem do estado de vigília para a iluminação de todas as lâmpadas;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1.12.6.2 A retomada automática para o estado de vigília e recarga pelo tempo de 24horas.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1.12.7 -Semestralmente deve ser verificado o estado de carga dos acumuladores, colocando em funcionamento o sistema por pelo menos uma hora.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1.13 – MATERIAIS EMPREGADOS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1.13.1 - Os tetos, rebaixamentos de tetos, revestimentos, jiraus, vitrinas, divisões, tapetes, cortinas, prateleiras de materiais inflamáveis ou de fácil combustão deverão receber tratamento de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ignifugação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ou preferencialmente ser de material incombustível.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1.14 – INSTALAÇÃO E CONSERVAÇÃO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1.14.1 - Somente serão aceitas instalações,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ignifugações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montagens e conservação de equipamentos preventivos, quando executados por firmas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credenciadas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no CBERJ;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1.14.2 - A conservação das instalações preventivas contra incêndio é obrigatória e de responsabilidade dos proprietários, inquilinos ou aqueles que devidamente inscritos no CBERJ, assumam a responsabilidade correspondente.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OUTRAS RECOMENDAÇÕES: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1- Os sistemas fixos de segurança contra incêndio deverão possuir circuitos elétricos independentes;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2- A CMI deverá atender a Seção III do Cap. III da Resolução SEDEC-142/94;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3- O SHAFT deverá atender a Seção VI do Cap. III da Resolução SEDEC-142/94;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4- Dotar a edificação de sinalização visual os equipamentos preventivos, área de proibido fumar, estacionamento e tráfego de veículos, PC de luz e força e as saídas da edificação;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5- As instalações elétricas em geral deverão obedecer a NBR-5410 e serem protegidas por chaves de desarme automático;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6- A edificação deverá possuir Manual de Segurança e Plano de Escape e seus responsáveis providenciarão, periodicamente, a sua distribuição e instrução sobre os mesmos;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7- A edificação deverá ser provida de sistema elétrico ou eletrônico de emergência, a fim de iluminar 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>todas as saídas, setas e placas indicativas, dotadas de alimentador próprio e capaz de entrar em funcionamento imediato, tão logo ocorra interrupção no suprimento de energia da edificação;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8- A conservação das instalações preventivas contra incêndio é obrigatória e de responsabilidade dos proprietários, síndicos ou aqueles que, devidamente inscritos no CBERJ, assumam a responsabilidade correspondente;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9- Os tetos, rebaixamentos de tetos, revestimentos, jiraus, vitrinas, divisões, tapetes, cortinas, prateleiras para materiais inflamáveis ou de fácil combustão deverão ser de material incombustível;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10- A edificação deverá dispor de sistema de proteção contra descargas atmosféricas nos moldes da norma ABNT/NBR-5419/01 – NIVEL III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O Sistema de proteção contra descargas atmosféricas (pára-raios), nível de proteção III, deverão ser constituídos de uma gaiola de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Faraday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com captores conectados a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condutores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cobre nu e módulos de malha com dimensões mínimas de (10x20 metros), disposta sobre o contorno da cobertura (platibanda), casa de máquinas e caixas d'água superiores, interligada a condutores de descidas, todos de cobre nu, com 32 mm2 de seção transversal mínima, sendo cada condutor de descida conectado a uma caixa de inspeção e medição. O sistema de aterramento será dotado com hastes de aterramento tipo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Copperweld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com número mínimo de duas hastes em cada aterramento com 50 mm2 de seção transversal mínima, deverá ainda atender ao projeto e memorial descritivo e NÃO ser do tipo Radioativo. Todos os detalhes de instalação deverão atender ao capítulo XVII do COSCIP, NBR-5419/93 e Lei nº 1587, de 14/dez/89 de acordo com projeto especifico.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11-Dotar a edificação de sinalização visual nos equipamentos preventivos, áreas de proibido fumar, estacionamento e tráfego de veículos, PC de luz e força e as saídas da edificação.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12-As instalações elétricas destinadas a suprir sistemas de detecção, iluminação de emergência, elevadores, bombas de recalque das canalizações preventivas e de sprinklers e demais equipamentos necessários à proteção contra incêndio, deverão possuir ligação denominada medidor de serviço'.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13-As instalações de ventilação mecânica (ou exaustão mecânica ou condicionamento central de ar) das áreas privativas (Restaurante, Lojas e Salas), somente serão aceitas com o projeto específico autenticado pelo CBMERJ, prevendo os 'DAMPERS CORTA-FOGO' necessários.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14-As escadas enclausuradas deverão possuir pontos de iluminação ao nível de cada pavimento e nos patamares intermediários, alimentados por circuito elétrico autônomo e independente da rede geral da edificação, em conformidade com NBR-5410, indicando de forma bem visível, o número do pavimento correspondente.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15-Apresentação de projeto de segurança contra incêndio também representa o cumprimento do disposto no Decreto n° 35.671, de 09 de junho de 2004.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à Resolução do SEDEC nº 279, de 01 de janeiro de 2005.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que se refere à apresentação do projeto especifico de Sinalização de emergência, segundo norma da ABNT/NBR-13434 - parte 1 e parte 2 (Sinalização de Segurança Contra Incêndio e Pânico) e assim como do projeto de iluminação de emergência, segundo norma da ABNT/NBR-10898.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os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quais esta 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>Diretoria Geral de Serviços Técnicos aprova e relata a seguir suas respectivas descrições conforme disposição apresentada em projeto, a saber: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PROJETO DE </w:t>
      </w:r>
      <w:proofErr w:type="spellStart"/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SINALlZAÇÃO</w:t>
      </w:r>
      <w:proofErr w:type="spellEnd"/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DE EMERGÊNCIA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 que deverá ser constituído por: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16-"SINALIZAÇÃO BASICA", sendo: "Sinalização de Alerta": código 9 - Risco de choque elétrico: "Sinalização de Orientação e Salvamento": código 13 - Indicação de sentido de saída de emergência.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código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16 - Indicação de sentido de fuga no interior das escadas, código 17 - Indicação de saída de emergência (complementação do pictograma fotoluminescente), código 19- número do pavimento; "Sinalização de Equipamentos": código 20 - Alarme sonoro, código 21 - Comando manual de alarme ou bomba de incêndio, código 23 - Extintor, código 25 - Abrigo de mangueiras e hidrante.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17-"SINALIZAÇÃO COMPLEMENTAR", sendo: código 30 (instrução para portas corta-fogo); todos os extintores deverão estar identificados com mensagens quanto ao tipo do mesmo: "AP"; "C02" e "PQS".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 xml:space="preserve">18- ILUMINAÇAO DE EMERGÊNCIA: Será constituído por: 61 (sessenta e um) blocos autônomos de iluminação, assim distribuídos: 09 (nove) no .subsolo; 05 (cinco) no térreo; 06 (seis) na Garagem; 06 (seis) no PUC; 06 (seis) no 1º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.; 04 (quatro) no 2º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; 04 (quatro) </w:t>
      </w:r>
      <w:proofErr w:type="gram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 3</w:t>
      </w:r>
      <w:proofErr w:type="gram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"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; 04 (quatro) no 4°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; 04 (quatro) no 5º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; 04 (quatro) no 6°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; 04 (quatro) no 7º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; 04 (quatro) no 8° </w:t>
      </w:r>
      <w:proofErr w:type="spellStart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pav</w:t>
      </w:r>
      <w:proofErr w:type="spellEnd"/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 ; 03 (três) no Terraço.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19 - Em conformidade com o previsto no Artigo 19 da Resolução SEDEC n° 279, 11 de janeiro de 2005, a referida edificação deverá adotar uma brigada de incêndio dimensionada de tal forma à atender ao previsto na Tabela-l desta mencionada resolução, que orienta quanto à necessidade de 02 (dois) bombeiros profissionais civis, por cada turno de trabalho e equipe de emergência.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As descrições acima corresponde ao mínimo dos dispositivos preventivos fixos e móveis de segurança contra incêndio e pânico a serem abrangidos pelo Projeto de Segurança Contra Incêndio e Pânico quando aprovado devera ser dimensionados e executados em obediência rigorosa à legislação de segurança contra incêndio e pânico e à normalização técnica brasileira.</w:t>
      </w:r>
    </w:p>
    <w:p w:rsidR="003A7DD9" w:rsidRDefault="003A7DD9" w:rsidP="003A7DD9">
      <w:pPr>
        <w:shd w:val="clear" w:color="auto" w:fill="FFFFFF"/>
        <w:spacing w:after="240" w:line="384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lastRenderedPageBreak/>
        <w:drawing>
          <wp:inline distT="0" distB="0" distL="0" distR="0">
            <wp:extent cx="3808730" cy="3291840"/>
            <wp:effectExtent l="19050" t="0" r="1270" b="0"/>
            <wp:docPr id="9" name="BLOGGER_PHOTO_ID_5400580904864028306" descr="http://2.bp.blogspot.com/_9WGM9jAF_X4/SvK3uC8tlpI/AAAAAAAAAC4/2mwAktziFEI/s400/Projeto+de+Situa%C3%A7%C3%A3o+Corte+e+Telhado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0580904864028306" descr="http://2.bp.blogspot.com/_9WGM9jAF_X4/SvK3uC8tlpI/AAAAAAAAAC4/2mwAktziFEI/s400/Projeto+de+Situa%C3%A7%C3%A3o+Corte+e+Telhado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427" w:rsidRDefault="003A7DD9" w:rsidP="003A7DD9">
      <w:pPr>
        <w:shd w:val="clear" w:color="auto" w:fill="FFFFFF"/>
        <w:spacing w:after="240" w:line="384" w:lineRule="atLeast"/>
        <w:jc w:val="center"/>
      </w:pP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Exemplo de um Projeto de Situação Corte e Telhado</w:t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800080"/>
          <w:sz w:val="18"/>
          <w:szCs w:val="18"/>
          <w:lang w:eastAsia="pt-BR"/>
        </w:rPr>
        <w:drawing>
          <wp:inline distT="0" distB="0" distL="0" distR="0">
            <wp:extent cx="3474720" cy="3808730"/>
            <wp:effectExtent l="19050" t="0" r="0" b="0"/>
            <wp:docPr id="10" name="BLOGGER_PHOTO_ID_5400572678046953570" descr="http://4.bp.blogspot.com/_9WGM9jAF_X4/SvKwPLqrMGI/AAAAAAAAACw/OZXcOmA4sm4/s400/Pr%C3%A9dio+Comercial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0572678046953570" descr="http://4.bp.blogspot.com/_9WGM9jAF_X4/SvKwPLqrMGI/AAAAAAAAACw/OZXcOmA4sm4/s400/Pr%C3%A9dio+Comercial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</w:r>
      <w:r w:rsidRPr="003A7DD9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</w:r>
    </w:p>
    <w:sectPr w:rsidR="00FC3427" w:rsidSect="00FC3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7DD9"/>
    <w:rsid w:val="003A7DD9"/>
    <w:rsid w:val="00FC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27"/>
  </w:style>
  <w:style w:type="paragraph" w:styleId="Ttulo3">
    <w:name w:val="heading 3"/>
    <w:basedOn w:val="Normal"/>
    <w:link w:val="Ttulo3Char"/>
    <w:uiPriority w:val="9"/>
    <w:qFormat/>
    <w:rsid w:val="003A7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A7D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3A7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4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9WGM9jAF_X4/SvA24bPY20I/AAAAAAAAABw/5qu4D5S-06o/s1600-h/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1.bp.blogspot.com/_9WGM9jAF_X4/SvA3gtpgkhI/AAAAAAAAACI/JvoIVGNIRY8/s1600-h/9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3.bp.blogspot.com/_9WGM9jAF_X4/SvA24rB-h7I/AAAAAAAAACA/PmKQvnoLyHg/s1600-h/5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2.bp.blogspot.com/_9WGM9jAF_X4/SvA3g9jcsjI/AAAAAAAAACQ/SA715VkmeOk/s1600-h/8.JPG" TargetMode="External"/><Relationship Id="rId20" Type="http://schemas.openxmlformats.org/officeDocument/2006/relationships/hyperlink" Target="http://2.bp.blogspot.com/_9WGM9jAF_X4/SvK3uC8tlpI/AAAAAAAAAC4/2mwAktziFEI/s1600-h/Projeto+de+Situa%C3%A7%C3%A3o+Corte+e+Telhado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3.bp.blogspot.com/_9WGM9jAF_X4/SvA24HsAeYI/AAAAAAAAABo/vTZTteEGRw8/s1600-h/2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1.bp.blogspot.com/_9WGM9jAF_X4/SvA24Y1dHMI/AAAAAAAAAB4/8nB2inxUkjk/s1600-h/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4.bp.blogspot.com/_9WGM9jAF_X4/SvA239SufwI/AAAAAAAAABg/i1WlJdeMKyw/s1600-h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2.bp.blogspot.com/_9WGM9jAF_X4/SvA3hDc7DgI/AAAAAAAAACY/VNhWWTIlCN8/s1600-h/7.JPG" TargetMode="External"/><Relationship Id="rId22" Type="http://schemas.openxmlformats.org/officeDocument/2006/relationships/hyperlink" Target="http://4.bp.blogspot.com/_9WGM9jAF_X4/SvKwPLqrMGI/AAAAAAAAACw/OZXcOmA4sm4/s1600-h/Pr%C3%A9dio+Comercial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2357</Words>
  <Characters>12734</Characters>
  <Application>Microsoft Office Word</Application>
  <DocSecurity>0</DocSecurity>
  <Lines>106</Lines>
  <Paragraphs>30</Paragraphs>
  <ScaleCrop>false</ScaleCrop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dcterms:created xsi:type="dcterms:W3CDTF">2014-02-20T14:50:00Z</dcterms:created>
  <dcterms:modified xsi:type="dcterms:W3CDTF">2014-02-20T14:52:00Z</dcterms:modified>
</cp:coreProperties>
</file>